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485)</w:t>
      </w:r>
    </w:p>
    <w:p>
      <w:pPr>
        <w:pStyle w:val="PressReleaseDate"/>
      </w:pPr>
      <w:r>
        <w:t>23 october 2020</w:t>
      </w:r>
      <w:r>
        <w:tab/>
      </w:r>
      <w:bookmarkStart w:id="0" w:name="_GoBack"/>
      <w:bookmarkEnd w:id="0"/>
      <w:r>
        <w:t>FOR IMMEDIATE RELEASE</w:t>
      </w:r>
    </w:p>
    <w:p>
      <w:pPr>
        <w:pStyle w:val="PlainText"/>
        <w:rPr>
          <w:rFonts w:cs="Arial"/>
          <w:b/>
          <w:sz w:val="36"/>
          <w:szCs w:val="36"/>
          <w:lang w:eastAsia="en-GB"/>
        </w:rPr>
      </w:pPr>
    </w:p>
    <w:p>
      <w:pPr>
        <w:pStyle w:val="Ends"/>
        <w:rPr>
          <w:sz w:val="35"/>
          <w:szCs w:val="35"/>
        </w:rPr>
      </w:pPr>
      <w:r>
        <w:rPr>
          <w:sz w:val="35"/>
          <w:szCs w:val="35"/>
        </w:rPr>
        <w:t>IQD launches new variable supply voltage oscillator</w:t>
      </w:r>
    </w:p>
    <w:p>
      <w:pPr>
        <w:rPr>
          <w:rFonts w:asciiTheme="minorHAnsi" w:hAnsiTheme="minorHAnsi" w:cstheme="minorHAnsi"/>
          <w:lang w:eastAsia="zh-CN"/>
        </w:rPr>
      </w:pPr>
      <w:r>
        <w:rPr>
          <w:rFonts w:cstheme="minorHAnsi"/>
          <w:lang w:eastAsia="zh-CN"/>
        </w:rPr>
        <w:t xml:space="preserve">Many of today’s industrial and consumer applications require batteries as power source. Therefore, products need to handle a change in voltage as the battery discharges. This can lead to design issues when using a </w:t>
      </w:r>
      <w:r>
        <w:rPr>
          <w:rFonts w:cstheme="minorHAnsi"/>
        </w:rPr>
        <w:t xml:space="preserve">standard oscillator with a fixed supply voltage. A discharging battery may cause a decrease in the source voltage, which consequently change the frequency of the oscillator. Following this, the timing accuracy within the application will decline. </w:t>
      </w:r>
    </w:p>
    <w:p>
      <w:pPr>
        <w:rPr>
          <w:rFonts w:cstheme="minorHAnsi"/>
        </w:rPr>
      </w:pPr>
      <w:r>
        <w:rPr>
          <w:rFonts w:cstheme="minorHAnsi"/>
          <w:lang w:eastAsia="zh-CN"/>
        </w:rPr>
        <w:t xml:space="preserve">IQD Frequency Products is pleased to launch its newest standard packaged clock oscillator series, </w:t>
      </w:r>
      <w:r>
        <w:rPr>
          <w:rFonts w:cstheme="minorHAnsi"/>
        </w:rPr>
        <w:t>the IQXO</w:t>
      </w:r>
      <w:r>
        <w:rPr>
          <w:rFonts w:cstheme="minorHAnsi"/>
        </w:rPr>
        <w:noBreakHyphen/>
        <w:t>951,</w:t>
      </w:r>
      <w:r>
        <w:rPr>
          <w:rFonts w:cstheme="minorHAnsi"/>
          <w:lang w:eastAsia="zh-CN"/>
        </w:rPr>
        <w:t xml:space="preserve"> which operates with a supply voltage range from 1.6 V to 3.3 V. </w:t>
      </w:r>
      <w:r>
        <w:rPr>
          <w:szCs w:val="20"/>
        </w:rPr>
        <w:t xml:space="preserve">The IQXO-951 is available in industry standard packages of 3.2 x 2.5 mm, 2.5 x 2.0 mm and 2.0 x 1.6 mm. </w:t>
      </w:r>
      <w:r>
        <w:rPr>
          <w:rFonts w:cstheme="minorHAnsi"/>
        </w:rPr>
        <w:t xml:space="preserve">It will allow electronic equipment manufacturers to benefit from standard stability of ± 25 ppm over the industrial temperature range from -40 to 85 </w:t>
      </w:r>
      <w:r>
        <w:rPr>
          <w:rFonts w:cstheme="minorHAnsi"/>
          <w:lang w:eastAsia="zh-CN"/>
        </w:rPr>
        <w:t>degrees C</w:t>
      </w:r>
      <w:r>
        <w:rPr>
          <w:rFonts w:cstheme="minorHAnsi"/>
        </w:rPr>
        <w:t xml:space="preserve">. Moreover, parts are also available with extended temperature range up to -40 to 125 </w:t>
      </w:r>
      <w:r>
        <w:rPr>
          <w:rFonts w:cstheme="minorHAnsi"/>
          <w:lang w:eastAsia="zh-CN"/>
        </w:rPr>
        <w:t>degrees C.</w:t>
      </w:r>
    </w:p>
    <w:p>
      <w:pPr>
        <w:rPr>
          <w:szCs w:val="20"/>
        </w:rPr>
      </w:pPr>
      <w:r>
        <w:rPr>
          <w:szCs w:val="20"/>
        </w:rPr>
        <w:t>The new clock oscillators are suitable for most applications that are designed for battery-powered products. In addition, c</w:t>
      </w:r>
      <w:r>
        <w:rPr>
          <w:rFonts w:cstheme="minorHAnsi"/>
        </w:rPr>
        <w:t>ustomers could</w:t>
      </w:r>
      <w:r>
        <w:t xml:space="preserve"> reduce their BOM management by using a single part instead of multiple oscillators with fixed supply voltages. </w:t>
      </w:r>
      <w:r>
        <w:rPr>
          <w:szCs w:val="20"/>
        </w:rPr>
        <w:t xml:space="preserve">Common markets for these applications are Telecommunications, </w:t>
      </w:r>
      <w:proofErr w:type="spellStart"/>
      <w:r>
        <w:rPr>
          <w:szCs w:val="20"/>
        </w:rPr>
        <w:t>IoT</w:t>
      </w:r>
      <w:proofErr w:type="spellEnd"/>
      <w:r>
        <w:rPr>
          <w:szCs w:val="20"/>
        </w:rPr>
        <w:t>, medical and many others.</w:t>
      </w:r>
    </w:p>
    <w:p>
      <w:pPr>
        <w:pStyle w:val="Ends"/>
        <w:jc w:val="left"/>
        <w:rPr>
          <w:rFonts w:cstheme="minorHAnsi"/>
          <w:b w:val="0"/>
          <w:sz w:val="20"/>
        </w:rPr>
      </w:pPr>
      <w:r>
        <w:rPr>
          <w:rFonts w:cstheme="minorHAnsi"/>
          <w:b w:val="0"/>
          <w:sz w:val="20"/>
        </w:rPr>
        <w:t xml:space="preserve">Full details on the IQXO-951 are available at </w:t>
      </w:r>
      <w:hyperlink r:id="rId8" w:history="1">
        <w:r>
          <w:rPr>
            <w:rStyle w:val="Hyperlink"/>
            <w:rFonts w:cstheme="minorHAnsi"/>
            <w:b w:val="0"/>
            <w:sz w:val="20"/>
          </w:rPr>
          <w:t>www.iqdfrequencyproducts.com</w:t>
        </w:r>
      </w:hyperlink>
      <w:r>
        <w:rPr>
          <w:rFonts w:cstheme="minorHAnsi"/>
          <w:b w:val="0"/>
          <w:sz w:val="20"/>
        </w:rPr>
        <w:t xml:space="preserve"> or for further advice, speak to a member of our Sales team or Application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r>
      <w:r>
        <w:rPr>
          <w:rFonts w:cs="Arial"/>
          <w:sz w:val="18"/>
          <w:szCs w:val="18"/>
        </w:rPr>
        <w:lastRenderedPageBreak/>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3432-7232-4D2B-B468-4A3915FA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15</cp:revision>
  <cp:lastPrinted>2015-08-21T16:09:00Z</cp:lastPrinted>
  <dcterms:created xsi:type="dcterms:W3CDTF">2020-09-22T17:17:00Z</dcterms:created>
  <dcterms:modified xsi:type="dcterms:W3CDTF">2020-10-22T10:43:00Z</dcterms:modified>
</cp:coreProperties>
</file>