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490)</w:t>
      </w:r>
    </w:p>
    <w:p>
      <w:pPr>
        <w:pStyle w:val="PressReleaseDate"/>
      </w:pPr>
      <w:r>
        <w:t>15. march 2021</w:t>
      </w:r>
      <w:r>
        <w:tab/>
        <w:t>FOR IMMEDIATE RELEASE</w:t>
      </w:r>
    </w:p>
    <w:p>
      <w:pPr>
        <w:pStyle w:val="PlainText"/>
        <w:rPr>
          <w:rFonts w:cs="Arial"/>
          <w:b/>
          <w:sz w:val="36"/>
          <w:szCs w:val="36"/>
          <w:lang w:eastAsia="en-GB"/>
        </w:rPr>
      </w:pPr>
    </w:p>
    <w:p>
      <w:pPr>
        <w:jc w:val="center"/>
        <w:rPr>
          <w:b/>
          <w:bCs/>
          <w:sz w:val="35"/>
          <w:szCs w:val="35"/>
        </w:rPr>
      </w:pPr>
      <w:r>
        <w:rPr>
          <w:b/>
          <w:bCs/>
          <w:sz w:val="35"/>
          <w:szCs w:val="35"/>
        </w:rPr>
        <w:t>IQD presents its new ultra-miniature LVDS / LVPECL oscillators</w:t>
      </w:r>
    </w:p>
    <w:p>
      <w:pPr>
        <w:jc w:val="center"/>
        <w:rPr>
          <w:i/>
          <w:iCs/>
        </w:rPr>
      </w:pPr>
      <w:r>
        <w:rPr>
          <w:i/>
          <w:iCs/>
        </w:rPr>
        <w:t>One of the world’s smallest LVDS / LVPECL oscillators</w:t>
      </w:r>
    </w:p>
    <w:p>
      <w:r>
        <w:t xml:space="preserve">Today the demand for smaller, higher performance and more reliable electronic solutions is ever-growing. This is driving frequency product manufacturers to produce even smaller, higher frequency devices to reach design goals and </w:t>
      </w:r>
      <w:r>
        <w:rPr>
          <w:rFonts w:asciiTheme="minorBidi" w:hAnsiTheme="minorBidi"/>
        </w:rPr>
        <w:t>support downsizing PCB</w:t>
      </w:r>
      <w:r>
        <w:t>s.</w:t>
      </w:r>
    </w:p>
    <w:p>
      <w:r>
        <w:t xml:space="preserve">IQD is pleased to launch its newest LVDS / LVPECL clock oscillators, the IQXO-406 &amp; IQXO-439, housed in a ultra-miniature 2.0 x 1.6 mm package. Available in a frequency range from 50 MHz to 250 MHz the new clock oscillators provide both miniaturisation and higher speed operation in one complete device. Common applications include 5G, Ethernet (10G/100G/1000G), Fibre Channel, </w:t>
      </w:r>
      <w:proofErr w:type="spellStart"/>
      <w:r>
        <w:t>IoT</w:t>
      </w:r>
      <w:proofErr w:type="spellEnd"/>
      <w:r>
        <w:t>, SONET/SDH and Wearables.</w:t>
      </w:r>
    </w:p>
    <w:p>
      <w:r>
        <w:t>The LVPECL and LVDS outputs provide a ‘complementary-pair’ logic to help with noise reduction at higher frequencies compared with CMOS logic signals.</w:t>
      </w:r>
    </w:p>
    <w:p>
      <w:r>
        <w:t>The new clock oscillators are available at either 2.5 V or 3.3 V with a phas</w:t>
      </w:r>
      <w:bookmarkStart w:id="0" w:name="_GoBack"/>
      <w:bookmarkEnd w:id="0"/>
      <w:r>
        <w:t xml:space="preserve">e jitter of less than 0.5 </w:t>
      </w:r>
      <w:proofErr w:type="spellStart"/>
      <w:r>
        <w:t>ps</w:t>
      </w:r>
      <w:proofErr w:type="spellEnd"/>
      <w:r>
        <w:t xml:space="preserve"> RMS (over 12 kHz to 20 MHz) irrespective of which output is specified. There is also a 2.5 x 2.0 mm package option where required.</w:t>
      </w:r>
    </w:p>
    <w:p>
      <w:r>
        <w:t xml:space="preserve">For full details on the IQXO-406 &amp; IQXO-439 please visit </w:t>
      </w:r>
      <w:hyperlink r:id="rId8" w:history="1">
        <w:r>
          <w:rPr>
            <w:rStyle w:val="Hyperlink"/>
          </w:rPr>
          <w:t>www.iqdfrequencyproducts.com</w:t>
        </w:r>
      </w:hyperlink>
      <w:r>
        <w:t xml:space="preserve"> or for further advice, speak to a member of our Sales or Applications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r>
      <w:r>
        <w:rPr>
          <w:rFonts w:cs="Arial"/>
          <w:sz w:val="18"/>
          <w:szCs w:val="18"/>
        </w:rPr>
        <w:lastRenderedPageBreak/>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28D4-6F76-4F66-B6DB-3C5D9640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8</cp:revision>
  <cp:lastPrinted>2015-08-21T16:09:00Z</cp:lastPrinted>
  <dcterms:created xsi:type="dcterms:W3CDTF">2021-02-10T08:21:00Z</dcterms:created>
  <dcterms:modified xsi:type="dcterms:W3CDTF">2021-02-15T15:16:00Z</dcterms:modified>
</cp:coreProperties>
</file>